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B62F" w14:textId="5407F3A3" w:rsidR="00672608" w:rsidRDefault="007020BF" w:rsidP="00F813AA">
      <w:pPr>
        <w:spacing w:line="360" w:lineRule="auto"/>
        <w:jc w:val="center"/>
      </w:pPr>
      <w:r>
        <w:t>Dwayne Peaslee Technical Training Center</w:t>
      </w:r>
    </w:p>
    <w:p w14:paraId="28B99EE0" w14:textId="1B735587" w:rsidR="007020BF" w:rsidRDefault="007020BF" w:rsidP="00F813AA">
      <w:pPr>
        <w:spacing w:line="360" w:lineRule="auto"/>
        <w:jc w:val="center"/>
      </w:pPr>
      <w:r>
        <w:t xml:space="preserve">Board of Directors </w:t>
      </w:r>
      <w:r w:rsidR="00701E51">
        <w:t xml:space="preserve">Meeting </w:t>
      </w:r>
    </w:p>
    <w:p w14:paraId="25A4A241" w14:textId="23F8185D" w:rsidR="007020BF" w:rsidRDefault="007020BF" w:rsidP="00F813AA">
      <w:pPr>
        <w:spacing w:line="360" w:lineRule="auto"/>
        <w:jc w:val="center"/>
      </w:pPr>
      <w:r>
        <w:t xml:space="preserve">March </w:t>
      </w:r>
      <w:r w:rsidR="00701E51">
        <w:t>13</w:t>
      </w:r>
      <w:r>
        <w:t>, 2025</w:t>
      </w:r>
    </w:p>
    <w:p w14:paraId="1BEF7617" w14:textId="77777777" w:rsidR="007020BF" w:rsidRDefault="007020BF" w:rsidP="007020BF">
      <w:pPr>
        <w:jc w:val="center"/>
      </w:pPr>
    </w:p>
    <w:p w14:paraId="39EB8ED2" w14:textId="381C4AC5" w:rsidR="00701E51" w:rsidRDefault="00701E51" w:rsidP="00701E51">
      <w:pPr>
        <w:spacing w:line="360" w:lineRule="auto"/>
      </w:pPr>
      <w:r>
        <w:t>From: Kevin W. Kelley</w:t>
      </w:r>
      <w:r w:rsidR="00B1465F">
        <w:t>, PhD</w:t>
      </w:r>
    </w:p>
    <w:p w14:paraId="68EEF5E9" w14:textId="03C5A172" w:rsidR="00B1465F" w:rsidRDefault="00B1465F" w:rsidP="00701E51">
      <w:pPr>
        <w:spacing w:line="360" w:lineRule="auto"/>
      </w:pPr>
      <w:r>
        <w:t xml:space="preserve">To: </w:t>
      </w:r>
      <w:r>
        <w:tab/>
        <w:t>Dwayne Peaslee Technical Training Center Board of Directors</w:t>
      </w:r>
    </w:p>
    <w:p w14:paraId="2BD6A13D" w14:textId="27FBC996" w:rsidR="006B72BC" w:rsidRDefault="00B1465F" w:rsidP="00701E51">
      <w:pPr>
        <w:spacing w:line="360" w:lineRule="auto"/>
      </w:pPr>
      <w:r>
        <w:t>Subj:</w:t>
      </w:r>
      <w:r>
        <w:tab/>
      </w:r>
      <w:r w:rsidR="006B72BC">
        <w:t>Strategic Goal Revision</w:t>
      </w:r>
    </w:p>
    <w:p w14:paraId="33C15BF5" w14:textId="17CC9565" w:rsidR="00B1465F" w:rsidRDefault="006147AB" w:rsidP="00F5117A">
      <w:pPr>
        <w:spacing w:line="360" w:lineRule="auto"/>
      </w:pPr>
      <w:r>
        <w:t>In reviewing our 2021-2026 Strategic Goals (</w:t>
      </w:r>
      <w:r w:rsidR="00F5117A">
        <w:t>below</w:t>
      </w:r>
      <w:r>
        <w:t xml:space="preserve">), we </w:t>
      </w:r>
      <w:r w:rsidR="00F5117A">
        <w:t xml:space="preserve">have </w:t>
      </w:r>
      <w:r>
        <w:t xml:space="preserve">not only met them, </w:t>
      </w:r>
      <w:r w:rsidR="00F5117A">
        <w:t xml:space="preserve">but we </w:t>
      </w:r>
      <w:r>
        <w:t>surpassed them. Therefore, I am proposing we implement a new set of strategic goals for the period of 2025-2029</w:t>
      </w:r>
      <w:r w:rsidR="00F5117A">
        <w:t xml:space="preserve"> as follows:</w:t>
      </w:r>
    </w:p>
    <w:p w14:paraId="280B537E" w14:textId="26AF6890" w:rsidR="00F5117A" w:rsidRPr="00F5117A" w:rsidRDefault="00F5117A" w:rsidP="00F5117A">
      <w:pPr>
        <w:spacing w:line="360" w:lineRule="auto"/>
        <w:jc w:val="both"/>
        <w:rPr>
          <w:u w:val="single"/>
        </w:rPr>
      </w:pPr>
      <w:r>
        <w:rPr>
          <w:u w:val="single"/>
        </w:rPr>
        <w:t>Expand Programming to High School Students</w:t>
      </w:r>
    </w:p>
    <w:p w14:paraId="7B4C8614" w14:textId="24E0DAAB" w:rsidR="00F5117A" w:rsidRDefault="00F5117A" w:rsidP="00F813AA">
      <w:pPr>
        <w:spacing w:line="360" w:lineRule="auto"/>
        <w:jc w:val="both"/>
      </w:pPr>
      <w:r>
        <w:t xml:space="preserve">While high school students have attended classes at Peaslee Tech through our partnership with USD 497 and more recently </w:t>
      </w:r>
      <w:r w:rsidR="00AD095C">
        <w:t>through</w:t>
      </w:r>
      <w:r>
        <w:t xml:space="preserve"> the addition of evening and afternoon sessions for high school students</w:t>
      </w:r>
      <w:r w:rsidR="00AD095C">
        <w:t xml:space="preserve"> from twelve area high schools, we aspire to serve 400 students</w:t>
      </w:r>
      <w:r w:rsidR="00F813AA">
        <w:t xml:space="preserve"> annually</w:t>
      </w:r>
      <w:r w:rsidR="00AD095C">
        <w:t xml:space="preserve"> in Peaslee Tech programs</w:t>
      </w:r>
      <w:r w:rsidR="00F813AA">
        <w:t xml:space="preserve"> by 1/1/2030.</w:t>
      </w:r>
    </w:p>
    <w:p w14:paraId="5D033488" w14:textId="3D117DA8" w:rsidR="007020BF" w:rsidRPr="00AD095C" w:rsidRDefault="007020BF" w:rsidP="00F813AA">
      <w:pPr>
        <w:spacing w:line="360" w:lineRule="auto"/>
        <w:rPr>
          <w:u w:val="single"/>
        </w:rPr>
      </w:pPr>
      <w:r w:rsidRPr="00AD095C">
        <w:rPr>
          <w:u w:val="single"/>
        </w:rPr>
        <w:t>The Peaslee Promise</w:t>
      </w:r>
      <w:r w:rsidR="00D358C0" w:rsidRPr="00AD095C">
        <w:rPr>
          <w:u w:val="single"/>
        </w:rPr>
        <w:t xml:space="preserve"> Fund</w:t>
      </w:r>
    </w:p>
    <w:p w14:paraId="51F42884" w14:textId="61318CDD" w:rsidR="00AD095C" w:rsidRPr="00F813AA" w:rsidRDefault="007020BF" w:rsidP="00F813AA">
      <w:pPr>
        <w:spacing w:line="360" w:lineRule="auto"/>
      </w:pPr>
      <w:r>
        <w:t>A $10 million endowment to ensure high school juniors and seniors from partner high schools and qualified Douglas County residents from low-income households can attend Peaslee Tech without incurring debt.</w:t>
      </w:r>
      <w:r w:rsidR="00AD095C">
        <w:t xml:space="preserve"> This is a long-term process; however, we aspire to endow $5 million dollars by 1/1/2030.</w:t>
      </w:r>
    </w:p>
    <w:p w14:paraId="4146957C" w14:textId="5C1370AA" w:rsidR="00AD095C" w:rsidRPr="00AD095C" w:rsidRDefault="00AD095C" w:rsidP="00F813AA">
      <w:pPr>
        <w:spacing w:line="360" w:lineRule="auto"/>
        <w:rPr>
          <w:i/>
          <w:iCs/>
          <w:u w:val="single"/>
        </w:rPr>
      </w:pPr>
      <w:r w:rsidRPr="00AD095C">
        <w:rPr>
          <w:u w:val="single"/>
        </w:rPr>
        <w:t>Energy Independence</w:t>
      </w:r>
    </w:p>
    <w:p w14:paraId="7DB3FE0F" w14:textId="4981513F" w:rsidR="00F67339" w:rsidRDefault="00AD095C" w:rsidP="00F813AA">
      <w:pPr>
        <w:spacing w:line="360" w:lineRule="auto"/>
      </w:pPr>
      <w:r>
        <w:t>Through a combination of energy saving activities, solar and geothermal energy infrastructure; we aspire to be a net positive producer of energy by 1/1/2030</w:t>
      </w:r>
    </w:p>
    <w:p w14:paraId="0B4CF40A" w14:textId="77777777" w:rsidR="00F813AA" w:rsidRDefault="00F813AA" w:rsidP="00F813A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8100B30" w14:textId="77777777" w:rsidR="00F813AA" w:rsidRDefault="00F813AA" w:rsidP="00F813A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E3B8938" w14:textId="223AE280" w:rsidR="00AD095C" w:rsidRDefault="00AD095C" w:rsidP="00F813A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Strategic Goals 2021-2026</w:t>
      </w:r>
    </w:p>
    <w:p w14:paraId="434FD7D0" w14:textId="77777777" w:rsidR="00AD095C" w:rsidRDefault="00AD095C" w:rsidP="00AD095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2566B5">
        <w:rPr>
          <w:rFonts w:ascii="Calibri" w:eastAsia="Calibri" w:hAnsi="Calibri" w:cs="Times New Roman"/>
          <w:u w:val="single"/>
        </w:rPr>
        <w:t>Serving Low-income Households</w:t>
      </w:r>
    </w:p>
    <w:p w14:paraId="69171828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606AF51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Goal: Provide any Douglas County resident from a low-income household, tuition-free enrollment in a Peaslee Tech program.</w:t>
      </w:r>
    </w:p>
    <w:p w14:paraId="398088C6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Measure: Percentage of students from low-income households minimally reflects a correlating percentage of Douglas County population.</w:t>
      </w:r>
    </w:p>
    <w:p w14:paraId="130BDF50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Aspirational: Percentage of students from low-income household consistently is 200% of Douglas County Population.</w:t>
      </w:r>
    </w:p>
    <w:p w14:paraId="4982A933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34A1D8A7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2566B5">
        <w:rPr>
          <w:rFonts w:ascii="Calibri" w:eastAsia="Calibri" w:hAnsi="Calibri" w:cs="Times New Roman"/>
          <w:u w:val="single"/>
        </w:rPr>
        <w:t>Serving BIPOC Communities</w:t>
      </w:r>
    </w:p>
    <w:p w14:paraId="40015150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0D995151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Goal: Increase BIPOC participation in skilled trades programs.</w:t>
      </w:r>
    </w:p>
    <w:p w14:paraId="4DD14F71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Measure: Percentage of students from BIPOC communities minimally reflects a correlating percentage of Douglas County population.</w:t>
      </w:r>
    </w:p>
    <w:p w14:paraId="71E172AC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Aspirational Goal: Percentage of students from BIPOC communities is consistently 200% of Douglas County population percentage.</w:t>
      </w:r>
    </w:p>
    <w:p w14:paraId="70F91B68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1F9D466A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  <w:u w:val="single"/>
        </w:rPr>
        <w:t>Institutional Diversity</w:t>
      </w:r>
    </w:p>
    <w:p w14:paraId="6FA31E0E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5FC4FF36" w14:textId="77777777" w:rsidR="00AD095C" w:rsidRPr="002566B5" w:rsidRDefault="00AD095C" w:rsidP="00AD095C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Goal: Recruit and retain staff, instructors, and Board members from BIPOC communities.</w:t>
      </w:r>
    </w:p>
    <w:p w14:paraId="237FABD6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Measure: Increase representation of BIPOC communities to levels proportional to Douglas County representation.</w:t>
      </w:r>
    </w:p>
    <w:p w14:paraId="73EFF5D3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Aspirational Goal: Attain BIPOC student representation aspirational goal and correlate staff, instructor and Board representation from BIPOC communities.</w:t>
      </w:r>
    </w:p>
    <w:p w14:paraId="57B68B9F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1117493A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  <w:u w:val="single"/>
        </w:rPr>
        <w:t>Support of Douglas County Entrepreneurs</w:t>
      </w:r>
    </w:p>
    <w:p w14:paraId="4560F037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32EC4606" w14:textId="77777777" w:rsidR="00AD095C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Goal: Fully developing Peaslee Tech Entrepreneur Crunch as an active component of a county-wide entrepreneurial ecosystem.</w:t>
      </w:r>
    </w:p>
    <w:p w14:paraId="2D471811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Measure: Provide documented support for fifty aspiring entrepreneurs and existing small businesses annually.</w:t>
      </w:r>
    </w:p>
    <w:p w14:paraId="1B730D62" w14:textId="6DCDF0A9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Aspirational Goal</w:t>
      </w:r>
      <w:r w:rsidR="006F6E46" w:rsidRPr="002566B5">
        <w:rPr>
          <w:rFonts w:ascii="Calibri" w:eastAsia="Calibri" w:hAnsi="Calibri" w:cs="Times New Roman"/>
        </w:rPr>
        <w:t>: Provide</w:t>
      </w:r>
      <w:r w:rsidRPr="002566B5">
        <w:rPr>
          <w:rFonts w:ascii="Calibri" w:eastAsia="Calibri" w:hAnsi="Calibri" w:cs="Times New Roman"/>
        </w:rPr>
        <w:t xml:space="preserve"> documented support for seventy-five aspiring entrepreneurs and existing small businesses annually.</w:t>
      </w:r>
    </w:p>
    <w:p w14:paraId="27D52DD6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84C3E4A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2566B5">
        <w:rPr>
          <w:rFonts w:ascii="Calibri" w:eastAsia="Calibri" w:hAnsi="Calibri" w:cs="Times New Roman"/>
          <w:u w:val="single"/>
        </w:rPr>
        <w:t>Support for Douglas County Employe</w:t>
      </w:r>
      <w:r>
        <w:rPr>
          <w:rFonts w:ascii="Calibri" w:eastAsia="Calibri" w:hAnsi="Calibri" w:cs="Times New Roman"/>
          <w:u w:val="single"/>
        </w:rPr>
        <w:t>r</w:t>
      </w:r>
      <w:r w:rsidRPr="002566B5">
        <w:rPr>
          <w:rFonts w:ascii="Calibri" w:eastAsia="Calibri" w:hAnsi="Calibri" w:cs="Times New Roman"/>
          <w:u w:val="single"/>
        </w:rPr>
        <w:t>s</w:t>
      </w:r>
    </w:p>
    <w:p w14:paraId="5FFE64AA" w14:textId="77777777" w:rsidR="00AD095C" w:rsidRPr="002566B5" w:rsidRDefault="00AD095C" w:rsidP="00AD095C">
      <w:pPr>
        <w:spacing w:after="0" w:line="240" w:lineRule="auto"/>
        <w:rPr>
          <w:rFonts w:ascii="Calibri" w:eastAsia="Calibri" w:hAnsi="Calibri" w:cs="Times New Roman"/>
        </w:rPr>
      </w:pPr>
    </w:p>
    <w:p w14:paraId="3D68A80C" w14:textId="77800AB4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 xml:space="preserve">Goal: Be the </w:t>
      </w:r>
      <w:r w:rsidR="006F6E46" w:rsidRPr="002566B5">
        <w:rPr>
          <w:rFonts w:ascii="Calibri" w:eastAsia="Calibri" w:hAnsi="Calibri" w:cs="Times New Roman"/>
        </w:rPr>
        <w:t>dominant</w:t>
      </w:r>
      <w:r w:rsidRPr="002566B5">
        <w:rPr>
          <w:rFonts w:ascii="Calibri" w:eastAsia="Calibri" w:hAnsi="Calibri" w:cs="Times New Roman"/>
        </w:rPr>
        <w:t xml:space="preserve"> provider of training and consulting services to Douglas County organizations.</w:t>
      </w:r>
    </w:p>
    <w:p w14:paraId="7303A97A" w14:textId="77777777" w:rsidR="00AD095C" w:rsidRPr="002566B5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Measure: Include questions related to awareness and engagement in the Chamber and City of Lawrence annual survey of businesses resulting in a 50% awareness across all organizations and 25% utilization by employers of 100 or more employees.</w:t>
      </w:r>
    </w:p>
    <w:p w14:paraId="6E899458" w14:textId="77777777" w:rsidR="00AD095C" w:rsidRPr="00144EF3" w:rsidRDefault="00AD095C" w:rsidP="00AD095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2566B5">
        <w:rPr>
          <w:rFonts w:ascii="Calibri" w:eastAsia="Calibri" w:hAnsi="Calibri" w:cs="Times New Roman"/>
        </w:rPr>
        <w:t>Aspirational Goal: In the above measure, attain 75% awareness and 40% utilization.</w:t>
      </w:r>
    </w:p>
    <w:p w14:paraId="65C92810" w14:textId="77777777" w:rsidR="00AD095C" w:rsidRDefault="00AD095C" w:rsidP="00B1465F"/>
    <w:sectPr w:rsidR="00AD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E1F9B"/>
    <w:multiLevelType w:val="hybridMultilevel"/>
    <w:tmpl w:val="C1E4B9BC"/>
    <w:lvl w:ilvl="0" w:tplc="BA3C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15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F"/>
    <w:rsid w:val="003B3C15"/>
    <w:rsid w:val="005074F7"/>
    <w:rsid w:val="005B194C"/>
    <w:rsid w:val="006147AB"/>
    <w:rsid w:val="00672608"/>
    <w:rsid w:val="006B72BC"/>
    <w:rsid w:val="006F6E46"/>
    <w:rsid w:val="00701E51"/>
    <w:rsid w:val="007020BF"/>
    <w:rsid w:val="008D2F1E"/>
    <w:rsid w:val="00AD095C"/>
    <w:rsid w:val="00B1465F"/>
    <w:rsid w:val="00C80A72"/>
    <w:rsid w:val="00D358C0"/>
    <w:rsid w:val="00D65E7F"/>
    <w:rsid w:val="00DF4B39"/>
    <w:rsid w:val="00EB2F5D"/>
    <w:rsid w:val="00F5117A"/>
    <w:rsid w:val="00F67339"/>
    <w:rsid w:val="00F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FC7A"/>
  <w15:chartTrackingRefBased/>
  <w15:docId w15:val="{597CA7E0-2B66-481F-B33A-C088C31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Andrea Chavez</cp:lastModifiedBy>
  <cp:revision>2</cp:revision>
  <cp:lastPrinted>2025-03-05T17:11:00Z</cp:lastPrinted>
  <dcterms:created xsi:type="dcterms:W3CDTF">2025-03-24T18:19:00Z</dcterms:created>
  <dcterms:modified xsi:type="dcterms:W3CDTF">2025-03-24T18:19:00Z</dcterms:modified>
</cp:coreProperties>
</file>